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544"/>
        <w:gridCol w:w="6804"/>
      </w:tblGrid>
      <w:tr w:rsidR="00DC5153" w:rsidRPr="00DC5153" w:rsidTr="00676D41">
        <w:tc>
          <w:tcPr>
            <w:tcW w:w="3544" w:type="dxa"/>
          </w:tcPr>
          <w:p w:rsidR="00DC5153" w:rsidRPr="00DC5153" w:rsidRDefault="00DC5153" w:rsidP="00623EA2">
            <w:pPr>
              <w:pStyle w:val="ListParagraph"/>
              <w:numPr>
                <w:ilvl w:val="0"/>
                <w:numId w:val="1"/>
              </w:numPr>
              <w:rPr>
                <w:b/>
              </w:rPr>
            </w:pPr>
            <w:bookmarkStart w:id="0" w:name="_GoBack"/>
            <w:bookmarkEnd w:id="0"/>
            <w:r w:rsidRPr="00DC5153">
              <w:rPr>
                <w:b/>
              </w:rPr>
              <w:t xml:space="preserve">Vispārējās izmaksas ir attiecināmas no brīža, kad ir apstiprināts LAP 2014-2020, bet kāds ir attiecināmības sākuma brīdis investīciju izmaksām projektiem? </w:t>
            </w:r>
          </w:p>
        </w:tc>
        <w:tc>
          <w:tcPr>
            <w:tcW w:w="6804" w:type="dxa"/>
          </w:tcPr>
          <w:p w:rsidR="00DC5153" w:rsidRPr="00DC5153" w:rsidRDefault="00DC5153" w:rsidP="00623EA2">
            <w:pPr>
              <w:pStyle w:val="PlainText"/>
              <w:rPr>
                <w:i/>
                <w:szCs w:val="22"/>
              </w:rPr>
            </w:pPr>
            <w:r w:rsidRPr="00DC5153">
              <w:rPr>
                <w:i/>
                <w:szCs w:val="22"/>
              </w:rPr>
              <w:t xml:space="preserve">Tieši tā, vispārējās izmaksas ir no brīža, kad apstiprināts LAP. Investīciju izmaksas projektiem ir attiecināmas no brīža, kad projekts iesniegts LAD vērtēšanā. (VRG vērtēšanas maksimālais termiņš ir viens mēnesis no projektu iesniegumu iesniegšanas termiņa beigām, vai, ja kārta ilgst vairāk par 30 kalendāra dienām, mēneša laikā pēc katra attiecīgās kārtas mēneša beigām) </w:t>
            </w:r>
            <w:r w:rsidRPr="00DC5153">
              <w:rPr>
                <w:i/>
                <w:szCs w:val="22"/>
              </w:rPr>
              <w:br/>
              <w:t>MK 598, 26. Atbalsta pretendents ir tiesīgs uzsākt projekta īstenošanu pēc projekta iesnieguma iesniegšanas Lauku atbalsta dienestā, uzņemoties pilnu finanšu risku. Atbalsta pretendents (fiziska persona), kam saskaņā ar normatīvajiem aktiem par valsts un Eiropas Savienības atbalsta piešķiršanu lauku un zivsaimniecības attīstībai konkrētam pasākumam ir jāiegūst komersanta vai zemnieku saimniecības statuss, ir tiesīgs uzsākt projekta īstenošanu pēc komersanta ierakstīšanas komercreģistrā. Ja Lauku atbalsta dienests pieņem lēmumu par projekta noraidīšanu, atbalsta pretendents sedz visus ar projekta īstenošanu saistītos izdevumus.</w:t>
            </w:r>
            <w:r>
              <w:rPr>
                <w:i/>
                <w:szCs w:val="22"/>
              </w:rPr>
              <w:br/>
            </w:r>
          </w:p>
        </w:tc>
      </w:tr>
      <w:tr w:rsidR="00DC5153" w:rsidRPr="00DC5153" w:rsidTr="00676D41">
        <w:tc>
          <w:tcPr>
            <w:tcW w:w="3544" w:type="dxa"/>
          </w:tcPr>
          <w:p w:rsidR="00DC5153" w:rsidRPr="00DC5153" w:rsidRDefault="00DC5153" w:rsidP="00DC5153">
            <w:pPr>
              <w:pStyle w:val="PlainText"/>
              <w:numPr>
                <w:ilvl w:val="0"/>
                <w:numId w:val="1"/>
              </w:numPr>
              <w:rPr>
                <w:i/>
                <w:szCs w:val="22"/>
              </w:rPr>
            </w:pPr>
            <w:r w:rsidRPr="00DC5153">
              <w:rPr>
                <w:b/>
                <w:szCs w:val="22"/>
              </w:rPr>
              <w:t>Vai nepieciešama cenu aptauja limitētajām (ierobežotajām) izmaksām, piemēram, vispārējās izmaksas līdz 2%?</w:t>
            </w:r>
            <w:r w:rsidRPr="00DC5153">
              <w:rPr>
                <w:szCs w:val="22"/>
              </w:rPr>
              <w:br/>
            </w:r>
          </w:p>
        </w:tc>
        <w:tc>
          <w:tcPr>
            <w:tcW w:w="6804" w:type="dxa"/>
          </w:tcPr>
          <w:p w:rsidR="00DC5153" w:rsidRPr="00DC5153" w:rsidRDefault="00DC5153" w:rsidP="00623EA2">
            <w:pPr>
              <w:pStyle w:val="PlainText"/>
              <w:rPr>
                <w:i/>
                <w:szCs w:val="22"/>
              </w:rPr>
            </w:pPr>
            <w:r w:rsidRPr="00DC5153">
              <w:rPr>
                <w:i/>
                <w:szCs w:val="22"/>
              </w:rPr>
              <w:t>Jā, cenu aptauja nepieciešama arī limitētajām izmaksām, ja tās pārsniedz 700 EUR. Cenu aptauja jāveic par jebkurām izmaksām, lai pārliecinātos par to atbilstību tirgus cenai.</w:t>
            </w:r>
            <w:r>
              <w:rPr>
                <w:i/>
                <w:szCs w:val="22"/>
              </w:rPr>
              <w:br/>
            </w:r>
          </w:p>
        </w:tc>
      </w:tr>
      <w:tr w:rsidR="00DC5153" w:rsidRPr="00DC5153" w:rsidTr="00676D41">
        <w:tc>
          <w:tcPr>
            <w:tcW w:w="3544" w:type="dxa"/>
          </w:tcPr>
          <w:p w:rsidR="00DC5153" w:rsidRPr="00DC5153" w:rsidRDefault="00DC5153" w:rsidP="00DC5153">
            <w:pPr>
              <w:pStyle w:val="PlainText"/>
              <w:numPr>
                <w:ilvl w:val="0"/>
                <w:numId w:val="1"/>
              </w:numPr>
              <w:rPr>
                <w:i/>
                <w:szCs w:val="22"/>
              </w:rPr>
            </w:pPr>
            <w:r w:rsidRPr="00DC5153">
              <w:rPr>
                <w:b/>
                <w:szCs w:val="22"/>
              </w:rPr>
              <w:t>Ko darīt, ja vispārējās izmaksas ir radušās pirms projekta sagatavošanas un nav veikta cenu aptauja (tad šīs izmaksas nevar iekļaut projektā)?</w:t>
            </w:r>
            <w:r>
              <w:rPr>
                <w:b/>
                <w:szCs w:val="22"/>
              </w:rPr>
              <w:br/>
            </w:r>
          </w:p>
        </w:tc>
        <w:tc>
          <w:tcPr>
            <w:tcW w:w="6804" w:type="dxa"/>
          </w:tcPr>
          <w:p w:rsidR="00D55A42" w:rsidRPr="002A0252" w:rsidRDefault="00D55A42" w:rsidP="00D55A42">
            <w:pPr>
              <w:rPr>
                <w:i/>
              </w:rPr>
            </w:pPr>
            <w:r w:rsidRPr="002A0252">
              <w:rPr>
                <w:i/>
              </w:rPr>
              <w:t xml:space="preserve">MK Nr.590 37.15.apakšpunkts nosaka, ka neattiecināmas ir izmaksas, kas radušās pirms projekta iesnieguma iesniegšanas (izņemot vispārējās izmaksas). Tātad visas izmaksas kas ir saistītas ar vispārējām izmaksām var būt radušās pirms projekta iesnieguma iesniegšanas. </w:t>
            </w:r>
          </w:p>
          <w:p w:rsidR="00DC5153" w:rsidRPr="00DC5153" w:rsidRDefault="00DC5153" w:rsidP="00DC5153">
            <w:pPr>
              <w:pStyle w:val="PlainText"/>
              <w:rPr>
                <w:i/>
                <w:szCs w:val="22"/>
              </w:rPr>
            </w:pPr>
            <w:r w:rsidRPr="00DC5153">
              <w:rPr>
                <w:i/>
                <w:szCs w:val="22"/>
              </w:rPr>
              <w:t xml:space="preserve">Jautājums, kā klients izvēlējies piegādātāju, neizpētot tirgus cenas? Atbilstoši MK Nr.598 punktam 6.5.3. – jāsniedz 2 derīgi cenas piedāvājumi. </w:t>
            </w:r>
            <w:r w:rsidRPr="00435135">
              <w:rPr>
                <w:i/>
                <w:szCs w:val="22"/>
              </w:rPr>
              <w:t>Ja nav veikta cenu salīdzināšana, tad šādas izmaksas netiks attiecinātas un attiecīgi tās var neiekļaut projektā.</w:t>
            </w:r>
            <w:r w:rsidRPr="00435135">
              <w:rPr>
                <w:i/>
                <w:szCs w:val="22"/>
              </w:rPr>
              <w:br/>
            </w:r>
          </w:p>
        </w:tc>
      </w:tr>
      <w:tr w:rsidR="00DC5153" w:rsidRPr="00DC5153" w:rsidTr="00676D41">
        <w:tc>
          <w:tcPr>
            <w:tcW w:w="3544" w:type="dxa"/>
          </w:tcPr>
          <w:p w:rsidR="00DC5153" w:rsidRPr="00DC5153" w:rsidRDefault="00DC5153" w:rsidP="00DC5153">
            <w:pPr>
              <w:pStyle w:val="PlainText"/>
              <w:numPr>
                <w:ilvl w:val="0"/>
                <w:numId w:val="1"/>
              </w:numPr>
              <w:rPr>
                <w:i/>
                <w:szCs w:val="22"/>
              </w:rPr>
            </w:pPr>
            <w:r w:rsidRPr="00435135">
              <w:rPr>
                <w:b/>
                <w:i/>
                <w:szCs w:val="22"/>
              </w:rPr>
              <w:t>V</w:t>
            </w:r>
            <w:r w:rsidRPr="00DC5153">
              <w:rPr>
                <w:b/>
                <w:szCs w:val="22"/>
              </w:rPr>
              <w:t>ai cenu aptauja jāveic arī izmaksām līdz 700 euro? (tikai nav jāiesniedz pamatojoši dokumenti)?</w:t>
            </w:r>
            <w:r w:rsidRPr="00DC5153">
              <w:rPr>
                <w:b/>
                <w:szCs w:val="22"/>
              </w:rPr>
              <w:br/>
            </w:r>
            <w:r w:rsidRPr="00DC5153">
              <w:rPr>
                <w:b/>
                <w:i/>
                <w:szCs w:val="22"/>
              </w:rPr>
              <w:br/>
            </w:r>
            <w:r w:rsidRPr="00DC5153">
              <w:rPr>
                <w:i/>
                <w:szCs w:val="22"/>
              </w:rPr>
              <w:br/>
            </w:r>
          </w:p>
        </w:tc>
        <w:tc>
          <w:tcPr>
            <w:tcW w:w="6804" w:type="dxa"/>
          </w:tcPr>
          <w:p w:rsidR="00DC5153" w:rsidRPr="00DC5153" w:rsidRDefault="00DC5153" w:rsidP="00DC5153">
            <w:pPr>
              <w:pStyle w:val="PlainText"/>
              <w:rPr>
                <w:i/>
                <w:szCs w:val="22"/>
              </w:rPr>
            </w:pPr>
            <w:r w:rsidRPr="00DC5153">
              <w:rPr>
                <w:i/>
                <w:szCs w:val="22"/>
              </w:rPr>
              <w:t xml:space="preserve">Pretendentam jāpārliecinās, ka plānotās projekta izmaksas atbilst gaidāmajiem rezultātiem, ievērojot pareizas finanšu vadības principu, ko veido MK Nr.598, punkts 6.4.): </w:t>
            </w:r>
            <w:r>
              <w:rPr>
                <w:i/>
                <w:szCs w:val="22"/>
              </w:rPr>
              <w:br/>
            </w:r>
            <w:r w:rsidRPr="00DC5153">
              <w:rPr>
                <w:i/>
                <w:szCs w:val="22"/>
              </w:rPr>
              <w:t>6.4.1. saimnieciskuma princips, kurš saistīts ar to, lai resursi, ko atbalsta pretendents lieto savas darbības nodrošināšanai, būtu pieejami noteiktā laikā, pienācīgā apmērā un par labāko cenu;</w:t>
            </w:r>
            <w:r>
              <w:rPr>
                <w:i/>
                <w:szCs w:val="22"/>
              </w:rPr>
              <w:br/>
            </w:r>
            <w:r w:rsidRPr="00DC5153">
              <w:rPr>
                <w:i/>
                <w:szCs w:val="22"/>
              </w:rPr>
              <w:t>6.4.2. lietderības princips, kurš saistīts ar labāko attiecību starp izmantotajiem resursiem un gūto rezultātu;</w:t>
            </w:r>
            <w:r>
              <w:rPr>
                <w:i/>
                <w:szCs w:val="22"/>
              </w:rPr>
              <w:br/>
            </w:r>
            <w:r w:rsidRPr="00DC5153">
              <w:rPr>
                <w:i/>
                <w:szCs w:val="22"/>
              </w:rPr>
              <w:t>6.4.3. efektivitātes princips, kurš saistīts ar konkrētu izvirzīto mērķu un paredzēto rezultātu sasniegšanu;</w:t>
            </w:r>
            <w:r>
              <w:rPr>
                <w:i/>
                <w:szCs w:val="22"/>
              </w:rPr>
              <w:br/>
            </w:r>
            <w:r w:rsidRPr="00DC5153">
              <w:rPr>
                <w:i/>
                <w:szCs w:val="22"/>
              </w:rPr>
              <w:t xml:space="preserve">Tātad, divi derīgu piedāvājumu iesniegšana nav obligāts nosacījums, bet pretendentam jāievēro pareizas finanšu vadības princips. Dienests no savas puses pārliecinās par izmaksu pamatotību, salīdzinot tirgus cenas. </w:t>
            </w:r>
            <w:r w:rsidRPr="00DC5153">
              <w:rPr>
                <w:i/>
                <w:szCs w:val="22"/>
              </w:rPr>
              <w:br/>
              <w:t>(MK Nr.598, punkts 6.3.). projekta iesniegumā iekļautās attiecināmās izmaksas nosaka atbilstoši normatīvajiem aktiem par valsts un Eiropas Savienības atbalsta piešķiršanu lauku un zivsaimniecības attīstībai konkrētam pasākumam un tirgus cenai;</w:t>
            </w:r>
            <w:r w:rsidR="00435135">
              <w:rPr>
                <w:i/>
                <w:szCs w:val="22"/>
              </w:rPr>
              <w:br/>
            </w:r>
          </w:p>
        </w:tc>
      </w:tr>
      <w:tr w:rsidR="00DC5153" w:rsidRPr="00DC5153" w:rsidTr="00676D41">
        <w:tc>
          <w:tcPr>
            <w:tcW w:w="3544" w:type="dxa"/>
          </w:tcPr>
          <w:p w:rsidR="00DC5153" w:rsidRPr="00B61BF2" w:rsidRDefault="00DC5153" w:rsidP="00435135">
            <w:pPr>
              <w:pStyle w:val="PlainText"/>
              <w:numPr>
                <w:ilvl w:val="0"/>
                <w:numId w:val="1"/>
              </w:numPr>
              <w:rPr>
                <w:szCs w:val="22"/>
              </w:rPr>
            </w:pPr>
            <w:r w:rsidRPr="00B61BF2">
              <w:rPr>
                <w:b/>
                <w:szCs w:val="22"/>
              </w:rPr>
              <w:t>Un salīdzināšana tiek veikta izmaksām bez PVN, pareizi?</w:t>
            </w:r>
          </w:p>
        </w:tc>
        <w:tc>
          <w:tcPr>
            <w:tcW w:w="6804" w:type="dxa"/>
          </w:tcPr>
          <w:p w:rsidR="00DC5153" w:rsidRPr="00DC5153" w:rsidRDefault="00435135" w:rsidP="00E151A4">
            <w:pPr>
              <w:pStyle w:val="PlainText"/>
              <w:rPr>
                <w:i/>
                <w:szCs w:val="22"/>
              </w:rPr>
            </w:pPr>
            <w:r w:rsidRPr="00DC5153">
              <w:rPr>
                <w:i/>
                <w:szCs w:val="22"/>
              </w:rPr>
              <w:t>Cenu salīdzinājumā izmaksas norāda bez PVN.</w:t>
            </w:r>
            <w:r w:rsidRPr="00DC5153">
              <w:rPr>
                <w:b/>
                <w:i/>
                <w:szCs w:val="22"/>
              </w:rPr>
              <w:br/>
            </w:r>
            <w:r w:rsidRPr="00DC5153">
              <w:rPr>
                <w:i/>
                <w:szCs w:val="22"/>
              </w:rPr>
              <w:t xml:space="preserve">Paredzamo līgumcenu nosaka kā finansējuma saņēmēja plānoto kopējo samaksu par līguma izpildi, ņemot vērā arī jebkuru izvēles iespēju un </w:t>
            </w:r>
            <w:r w:rsidRPr="00DC5153">
              <w:rPr>
                <w:i/>
                <w:szCs w:val="22"/>
              </w:rPr>
              <w:lastRenderedPageBreak/>
              <w:t>jebkurus līguma papildinājumus, kā arī visus saistībā ar līgumu maksājamos nodokļus (izņemot pievienotās vērtības nodokli) un citas konkrētajam iepirkumam būtiskas izmaksas. (MK Nr.299, 7.punkts)</w:t>
            </w:r>
          </w:p>
        </w:tc>
      </w:tr>
      <w:tr w:rsidR="00DC5153" w:rsidRPr="00DC5153" w:rsidTr="00676D41">
        <w:tc>
          <w:tcPr>
            <w:tcW w:w="3544" w:type="dxa"/>
          </w:tcPr>
          <w:p w:rsidR="00DC5153" w:rsidRPr="00DC5153" w:rsidRDefault="00435135" w:rsidP="00435135">
            <w:pPr>
              <w:pStyle w:val="PlainText"/>
              <w:numPr>
                <w:ilvl w:val="0"/>
                <w:numId w:val="1"/>
              </w:numPr>
              <w:rPr>
                <w:i/>
                <w:szCs w:val="22"/>
              </w:rPr>
            </w:pPr>
            <w:r w:rsidRPr="00DC5153">
              <w:rPr>
                <w:b/>
                <w:szCs w:val="22"/>
              </w:rPr>
              <w:lastRenderedPageBreak/>
              <w:t>Vai es saprotu pareizi, ka pašvaldības iegādājoties pamatlīdzekļus piem. par 5000,- eiro, no pirmā lata sniedz iepirkumu IUB...?</w:t>
            </w:r>
            <w:r w:rsidR="00DC5153" w:rsidRPr="00DC5153">
              <w:rPr>
                <w:i/>
                <w:szCs w:val="22"/>
              </w:rPr>
              <w:br/>
            </w:r>
          </w:p>
        </w:tc>
        <w:tc>
          <w:tcPr>
            <w:tcW w:w="6804" w:type="dxa"/>
          </w:tcPr>
          <w:p w:rsidR="00514CFC" w:rsidRDefault="00435135" w:rsidP="00514CFC">
            <w:pPr>
              <w:rPr>
                <w:i/>
                <w:iCs/>
              </w:rPr>
            </w:pPr>
            <w:r w:rsidRPr="00DC5153">
              <w:rPr>
                <w:i/>
              </w:rPr>
              <w:t xml:space="preserve">Nē, atbilstoši Publisko iepirkumu likuma 8.2 pantam - Ja publisku piegādes līgumu vai pakalpojumu līgumu paredzamā līgumcena ir 4000 euro vai lielāka, bet mazāka par 42 000 euro un publisku būvdarbu līgumu paredzamā līgumcena ir 14 000 euro vai lielāka, bet mazāka par 170 000 euro, pasūtītājs veic iepirkumu šajā pantā noteiktajā kārtībā. </w:t>
            </w:r>
            <w:r w:rsidRPr="00DC5153">
              <w:rPr>
                <w:b/>
                <w:i/>
              </w:rPr>
              <w:br/>
            </w:r>
            <w:r w:rsidRPr="00DC5153">
              <w:rPr>
                <w:i/>
              </w:rPr>
              <w:t>Tas ir, veic iepirkumu izmantojot IUB.</w:t>
            </w:r>
            <w:r w:rsidR="00514CFC">
              <w:rPr>
                <w:i/>
              </w:rPr>
              <w:t xml:space="preserve"> </w:t>
            </w:r>
            <w:r w:rsidR="00514CFC">
              <w:rPr>
                <w:i/>
                <w:iCs/>
              </w:rPr>
              <w:t>Tātad iepirkums IUB nav no pirmā euro.</w:t>
            </w:r>
          </w:p>
          <w:p w:rsidR="00DC5153" w:rsidRPr="00DC5153" w:rsidRDefault="00DC5153" w:rsidP="00623EA2">
            <w:pPr>
              <w:pStyle w:val="PlainText"/>
              <w:rPr>
                <w:i/>
                <w:szCs w:val="22"/>
              </w:rPr>
            </w:pPr>
          </w:p>
        </w:tc>
      </w:tr>
      <w:tr w:rsidR="00DC5153" w:rsidRPr="00DC5153" w:rsidTr="00676D41">
        <w:tc>
          <w:tcPr>
            <w:tcW w:w="3544" w:type="dxa"/>
          </w:tcPr>
          <w:p w:rsidR="00DC5153" w:rsidRPr="00DC5153" w:rsidRDefault="00435135" w:rsidP="00623EA2">
            <w:pPr>
              <w:pStyle w:val="PlainText"/>
              <w:numPr>
                <w:ilvl w:val="0"/>
                <w:numId w:val="1"/>
              </w:numPr>
              <w:rPr>
                <w:b/>
                <w:i/>
                <w:szCs w:val="22"/>
              </w:rPr>
            </w:pPr>
            <w:r w:rsidRPr="00DC5153">
              <w:rPr>
                <w:b/>
                <w:szCs w:val="22"/>
              </w:rPr>
              <w:t>Vai ir jāveic cenu aptauja par tehnisko projektu vai projektu rakstītāju, ja tas jau tiek darīts šobrīd, pirms attiecināmo izmaksu perioda?</w:t>
            </w:r>
            <w:r w:rsidR="00E151A4">
              <w:rPr>
                <w:b/>
                <w:szCs w:val="22"/>
              </w:rPr>
              <w:br/>
            </w:r>
          </w:p>
        </w:tc>
        <w:tc>
          <w:tcPr>
            <w:tcW w:w="6804" w:type="dxa"/>
          </w:tcPr>
          <w:p w:rsidR="00DC5153" w:rsidRPr="002A0252" w:rsidRDefault="00435135" w:rsidP="00623EA2">
            <w:pPr>
              <w:pStyle w:val="PlainText"/>
              <w:rPr>
                <w:i/>
                <w:szCs w:val="22"/>
              </w:rPr>
            </w:pPr>
            <w:r w:rsidRPr="002A0252">
              <w:rPr>
                <w:i/>
                <w:szCs w:val="22"/>
              </w:rPr>
              <w:t>Cenu aptauja jāveic par jebkuru piegādi vai pakalpojumu, lai pārliecinātos par atbilstību tirgus cenai. Bet jāsniedz pamatojošie dokumenti sākot no 700 EUR.</w:t>
            </w:r>
            <w:r w:rsidR="00D55A42" w:rsidRPr="002A0252">
              <w:rPr>
                <w:i/>
                <w:szCs w:val="22"/>
              </w:rPr>
              <w:br/>
            </w:r>
            <w:r w:rsidR="00D55A42" w:rsidRPr="002A0252">
              <w:rPr>
                <w:i/>
              </w:rPr>
              <w:t>MK Nr.590 37.15.apakšpunkts nosaka, ka neattiecināmas ir izmaksas, kas radušās pirms projekta iesnieguma iesniegšanas (izņemot vispārējās izmaksas). Tātad visas izmaksas kas ir saistītas ar vispārējām izmaksām var būt radušās pirms projekta iesnieguma iesniegšanas.</w:t>
            </w:r>
          </w:p>
        </w:tc>
      </w:tr>
      <w:tr w:rsidR="00DC5153" w:rsidRPr="00DC5153" w:rsidTr="00676D41">
        <w:tc>
          <w:tcPr>
            <w:tcW w:w="3544" w:type="dxa"/>
          </w:tcPr>
          <w:p w:rsidR="00DC5153" w:rsidRPr="00DC5153" w:rsidRDefault="00435135" w:rsidP="00435135">
            <w:pPr>
              <w:pStyle w:val="PlainText"/>
              <w:numPr>
                <w:ilvl w:val="0"/>
                <w:numId w:val="1"/>
              </w:numPr>
              <w:rPr>
                <w:i/>
                <w:szCs w:val="22"/>
              </w:rPr>
            </w:pPr>
            <w:r w:rsidRPr="00DC5153">
              <w:rPr>
                <w:b/>
                <w:szCs w:val="22"/>
              </w:rPr>
              <w:t>Aktuāls arī jautājums par to, kas pie teritorijas labiekārtošanas tiek uzskatīts par būvniecību un, kam īstenošanai tiek atvēlēti divi gadi?</w:t>
            </w:r>
            <w:r w:rsidR="00E151A4">
              <w:rPr>
                <w:b/>
                <w:szCs w:val="22"/>
              </w:rPr>
              <w:br/>
            </w:r>
          </w:p>
        </w:tc>
        <w:tc>
          <w:tcPr>
            <w:tcW w:w="6804" w:type="dxa"/>
          </w:tcPr>
          <w:p w:rsidR="00D55A42" w:rsidRPr="002A0252" w:rsidRDefault="00D55A42" w:rsidP="00D55A42">
            <w:pPr>
              <w:rPr>
                <w:i/>
              </w:rPr>
            </w:pPr>
            <w:r w:rsidRPr="002A0252">
              <w:rPr>
                <w:i/>
              </w:rPr>
              <w:t xml:space="preserve">Ja par plānoto teritorijas labiekārtošanu ir tehniskais projekts (paskaidrojuma raksts) tad tā būs būvniecība. </w:t>
            </w:r>
          </w:p>
          <w:p w:rsidR="00DC5153" w:rsidRPr="002A0252" w:rsidRDefault="00DC5153" w:rsidP="00623EA2">
            <w:pPr>
              <w:pStyle w:val="PlainText"/>
              <w:rPr>
                <w:i/>
                <w:szCs w:val="22"/>
              </w:rPr>
            </w:pPr>
          </w:p>
        </w:tc>
      </w:tr>
      <w:tr w:rsidR="00DC5153" w:rsidRPr="00DC5153" w:rsidTr="00676D41">
        <w:tc>
          <w:tcPr>
            <w:tcW w:w="3544" w:type="dxa"/>
          </w:tcPr>
          <w:p w:rsidR="00DC5153" w:rsidRPr="00DC5153" w:rsidRDefault="00435135" w:rsidP="00E151A4">
            <w:pPr>
              <w:pStyle w:val="PlainText"/>
              <w:numPr>
                <w:ilvl w:val="0"/>
                <w:numId w:val="1"/>
              </w:numPr>
              <w:rPr>
                <w:i/>
                <w:szCs w:val="22"/>
              </w:rPr>
            </w:pPr>
            <w:r w:rsidRPr="00DC5153">
              <w:rPr>
                <w:b/>
                <w:szCs w:val="22"/>
              </w:rPr>
              <w:t>Jautājums par to, cik sīki LAD vērtē pretendenta vēsturi. Konkrētā situācija - pretendentam ir bijis uzņēmums, kas ticis pārdots ar nodokļu parādu. Vai tas var ietekmēt viņa iespējas saņemt publisko finansējumu un īstenot projektu?</w:t>
            </w:r>
            <w:r w:rsidR="00DC5153" w:rsidRPr="00DC5153">
              <w:rPr>
                <w:b/>
                <w:szCs w:val="22"/>
              </w:rPr>
              <w:br/>
            </w:r>
          </w:p>
        </w:tc>
        <w:tc>
          <w:tcPr>
            <w:tcW w:w="6804" w:type="dxa"/>
          </w:tcPr>
          <w:p w:rsidR="00D55A42" w:rsidRPr="002A0252" w:rsidRDefault="00D55A42" w:rsidP="00D55A42">
            <w:pPr>
              <w:pStyle w:val="PlainText"/>
              <w:rPr>
                <w:i/>
              </w:rPr>
            </w:pPr>
            <w:r w:rsidRPr="002A0252">
              <w:rPr>
                <w:i/>
              </w:rPr>
              <w:t xml:space="preserve">Dienests vērtē </w:t>
            </w:r>
            <w:r w:rsidRPr="002A0252">
              <w:rPr>
                <w:bCs/>
                <w:i/>
              </w:rPr>
              <w:t>projekta iesniedzēju</w:t>
            </w:r>
            <w:r w:rsidRPr="002A0252">
              <w:rPr>
                <w:i/>
              </w:rPr>
              <w:t xml:space="preserve">, viņa saistītos uzņēmumus, dzīvotspēju utt, </w:t>
            </w:r>
          </w:p>
          <w:p w:rsidR="00DC5153" w:rsidRPr="002A0252" w:rsidRDefault="00D55A42" w:rsidP="00D55A42">
            <w:pPr>
              <w:pStyle w:val="PlainText"/>
              <w:rPr>
                <w:b/>
                <w:i/>
                <w:szCs w:val="22"/>
              </w:rPr>
            </w:pPr>
            <w:r w:rsidRPr="002A0252">
              <w:rPr>
                <w:i/>
              </w:rPr>
              <w:t>Protams tiek ņemta vērā arī pretendenta iepriekšējā pieredze īstenojot projektus ( pārkāpumi, termiņi utt.), bet katrs gadījums tiek vērtēts individuāli (sarkanie karogi).</w:t>
            </w:r>
          </w:p>
        </w:tc>
      </w:tr>
      <w:tr w:rsidR="00DC5153" w:rsidRPr="00DC5153" w:rsidTr="00676D41">
        <w:tc>
          <w:tcPr>
            <w:tcW w:w="3544" w:type="dxa"/>
          </w:tcPr>
          <w:p w:rsidR="00DC5153" w:rsidRPr="00DC5153" w:rsidRDefault="00435135" w:rsidP="00435135">
            <w:pPr>
              <w:pStyle w:val="PlainText"/>
              <w:numPr>
                <w:ilvl w:val="0"/>
                <w:numId w:val="1"/>
              </w:numPr>
              <w:rPr>
                <w:b/>
                <w:szCs w:val="22"/>
              </w:rPr>
            </w:pPr>
            <w:r w:rsidRPr="00DC5153">
              <w:rPr>
                <w:b/>
                <w:szCs w:val="22"/>
              </w:rPr>
              <w:t>Pie apmācību projektu īstenošanas ir nosacījums, ka pēc mācībām ir jāiegūst sertifikāts vai apliecinājums. Skaidrs ir tas, ka sertifikātam tomēr ir lielāks spēks, nekā apliecinājumam, tāpēc jautājums - vai ir vienalga, kas tiek saņemts pēc mācībām?</w:t>
            </w:r>
            <w:r w:rsidR="00E151A4">
              <w:rPr>
                <w:b/>
                <w:szCs w:val="22"/>
              </w:rPr>
              <w:br/>
            </w:r>
          </w:p>
        </w:tc>
        <w:tc>
          <w:tcPr>
            <w:tcW w:w="6804" w:type="dxa"/>
          </w:tcPr>
          <w:p w:rsidR="00DC5153" w:rsidRPr="00DC5153" w:rsidRDefault="00435135" w:rsidP="00623EA2">
            <w:pPr>
              <w:pStyle w:val="PlainText"/>
              <w:rPr>
                <w:i/>
                <w:szCs w:val="22"/>
              </w:rPr>
            </w:pPr>
            <w:r w:rsidRPr="00DC5153">
              <w:rPr>
                <w:i/>
                <w:szCs w:val="22"/>
              </w:rPr>
              <w:t>Atbilde izrietēs no mācību nozares un specifikas, kas tiks apgūts. Atšķirība ir tā, ka sertifikāts apliecina profesionālo kompetenci, tas ir rakstisks kvalifikācijas vai iegūtās izglītības, iemaņu apliecinājums.</w:t>
            </w:r>
            <w:r w:rsidRPr="00DC5153">
              <w:rPr>
                <w:i/>
                <w:szCs w:val="22"/>
              </w:rPr>
              <w:br/>
              <w:t xml:space="preserve">Apliecinājums ir dokuments par piedalīšanos apmācībās. </w:t>
            </w:r>
            <w:r w:rsidRPr="00DC5153">
              <w:rPr>
                <w:i/>
                <w:szCs w:val="22"/>
              </w:rPr>
              <w:br/>
            </w:r>
          </w:p>
        </w:tc>
      </w:tr>
      <w:tr w:rsidR="00DC5153" w:rsidRPr="00DC5153" w:rsidTr="00676D41">
        <w:tc>
          <w:tcPr>
            <w:tcW w:w="3544" w:type="dxa"/>
          </w:tcPr>
          <w:p w:rsidR="00DC5153" w:rsidRPr="00DC5153" w:rsidRDefault="00DC5153" w:rsidP="00435135">
            <w:pPr>
              <w:pStyle w:val="PlainText"/>
              <w:numPr>
                <w:ilvl w:val="0"/>
                <w:numId w:val="1"/>
              </w:numPr>
              <w:rPr>
                <w:i/>
                <w:szCs w:val="22"/>
              </w:rPr>
            </w:pPr>
            <w:r w:rsidRPr="00DC5153">
              <w:rPr>
                <w:b/>
                <w:szCs w:val="22"/>
              </w:rPr>
              <w:t>Un pēdējais jautājums par to, kur pašvaldībām meklēt informāciju par avansa saņemšanas kārtību, kā arī kurā vietā veidlapā tiek atzīmēts tas, ka pašvaldība izmantos 20% avansa iespēju</w:t>
            </w:r>
            <w:r w:rsidRPr="00DC5153">
              <w:rPr>
                <w:b/>
                <w:i/>
                <w:szCs w:val="22"/>
              </w:rPr>
              <w:t>?</w:t>
            </w:r>
            <w:r w:rsidRPr="00DC5153">
              <w:rPr>
                <w:b/>
                <w:i/>
                <w:szCs w:val="22"/>
              </w:rPr>
              <w:br/>
            </w:r>
            <w:r w:rsidRPr="00DC5153">
              <w:rPr>
                <w:b/>
                <w:i/>
                <w:szCs w:val="22"/>
              </w:rPr>
              <w:br/>
            </w:r>
          </w:p>
        </w:tc>
        <w:tc>
          <w:tcPr>
            <w:tcW w:w="6804" w:type="dxa"/>
          </w:tcPr>
          <w:p w:rsidR="00DC5153" w:rsidRPr="00DC5153" w:rsidRDefault="00435135" w:rsidP="00623EA2">
            <w:pPr>
              <w:pStyle w:val="PlainText"/>
              <w:rPr>
                <w:i/>
                <w:szCs w:val="22"/>
              </w:rPr>
            </w:pPr>
            <w:r w:rsidRPr="00DC5153">
              <w:rPr>
                <w:i/>
                <w:szCs w:val="22"/>
              </w:rPr>
              <w:lastRenderedPageBreak/>
              <w:t>MK Nr.598 52.punkts nosaka - Ja atbalsta saņēmējs ir pašvaldība, atbalstu piešķir šādā kārtībā:</w:t>
            </w:r>
            <w:r>
              <w:rPr>
                <w:i/>
                <w:szCs w:val="22"/>
              </w:rPr>
              <w:br/>
            </w:r>
            <w:r>
              <w:rPr>
                <w:i/>
                <w:szCs w:val="22"/>
              </w:rPr>
              <w:br/>
            </w:r>
            <w:r w:rsidR="00DC5153" w:rsidRPr="00DC5153">
              <w:rPr>
                <w:i/>
                <w:szCs w:val="22"/>
              </w:rPr>
              <w:t xml:space="preserve">52.1. ja kopā ar projekta iesniegumu ir iesniegts priekšapmaksas pieprasījums (5. pielikums), Lauku atbalsta dienests 30 kalendāra dienu laikā pēc projekta iesnieguma apstiprināšanas pārskaita pašvaldībai priekšapmaksu apstiprinātajā projekta iesniegumā noteiktajā apmērā, bet ne vairāk kā 20 procentu no kopējā projektam piešķirtā Eiropas </w:t>
            </w:r>
            <w:r w:rsidR="00DC5153" w:rsidRPr="00DC5153">
              <w:rPr>
                <w:i/>
                <w:szCs w:val="22"/>
              </w:rPr>
              <w:lastRenderedPageBreak/>
              <w:t>Savienības finansējuma un valsts budžeta finansējuma apmēra. Priekšapmaksas maksājuma un starpposma maksājumu saņemšanai, kā arī visu projekta izdevumu segšanai nepieciešamajiem līdzekļiem pašvaldība atver kontu Valsts kasē;</w:t>
            </w:r>
            <w:r>
              <w:rPr>
                <w:i/>
                <w:szCs w:val="22"/>
              </w:rPr>
              <w:br/>
            </w:r>
            <w:r w:rsidRPr="00DC5153">
              <w:rPr>
                <w:i/>
                <w:szCs w:val="22"/>
              </w:rPr>
              <w:t>52.2. pašvaldība, īstenojot projektu, maksājumiem izmanto tikai šo noteikumu 52.1. apakšpunktā minētā konta līdzekļus;</w:t>
            </w:r>
            <w:r>
              <w:rPr>
                <w:i/>
                <w:szCs w:val="22"/>
              </w:rPr>
              <w:br/>
            </w:r>
            <w:r w:rsidRPr="00DC5153">
              <w:rPr>
                <w:i/>
                <w:szCs w:val="22"/>
              </w:rPr>
              <w:t>52.3. pašvaldība sagatavo maksājuma pieprasījumu un iesniedz to Lauku atbalsta dienestā.</w:t>
            </w:r>
            <w:r>
              <w:rPr>
                <w:i/>
                <w:szCs w:val="22"/>
              </w:rPr>
              <w:br/>
            </w:r>
            <w:r w:rsidRPr="00DC5153">
              <w:rPr>
                <w:i/>
                <w:szCs w:val="22"/>
              </w:rPr>
              <w:t>Tātad, projekta veidlapā pašvaldības neatzīmē, ka tiek izmantota avansa iespēja, bet kopā ar projekta iesniegumu iesniedz MK.Nr.598 5.pielikumu.</w:t>
            </w:r>
            <w:r w:rsidR="00B57B16">
              <w:rPr>
                <w:i/>
                <w:szCs w:val="22"/>
              </w:rPr>
              <w:br/>
            </w:r>
          </w:p>
        </w:tc>
      </w:tr>
      <w:tr w:rsidR="00DC5153" w:rsidRPr="00DC5153" w:rsidTr="00676D41">
        <w:tc>
          <w:tcPr>
            <w:tcW w:w="3544" w:type="dxa"/>
          </w:tcPr>
          <w:p w:rsidR="00B61BF2" w:rsidRPr="00B61BF2" w:rsidRDefault="00B61BF2" w:rsidP="00B61BF2">
            <w:pPr>
              <w:pStyle w:val="PlainText"/>
              <w:numPr>
                <w:ilvl w:val="0"/>
                <w:numId w:val="1"/>
              </w:numPr>
              <w:rPr>
                <w:b/>
                <w:szCs w:val="22"/>
              </w:rPr>
            </w:pPr>
            <w:r w:rsidRPr="00B61BF2">
              <w:rPr>
                <w:b/>
                <w:szCs w:val="22"/>
              </w:rPr>
              <w:lastRenderedPageBreak/>
              <w:t>Lielākajā daļā iepirkumu pretendenti iesniegs - atbalsta pretendenta apraksts par piedāvājumu salīdzinājumu konkrētajai iegādei un informācija par aptaujātajiem komersantiem, lai apliecinātu noteiktās cenas objektivitāti.</w:t>
            </w:r>
          </w:p>
          <w:p w:rsidR="00B61BF2" w:rsidRPr="00B61BF2" w:rsidRDefault="00B61BF2" w:rsidP="00B61BF2">
            <w:pPr>
              <w:pStyle w:val="PlainText"/>
              <w:rPr>
                <w:b/>
                <w:szCs w:val="22"/>
              </w:rPr>
            </w:pPr>
            <w:r w:rsidRPr="00B61BF2">
              <w:rPr>
                <w:b/>
                <w:szCs w:val="22"/>
              </w:rPr>
              <w:t>Vai pareizi ir tas, ka mēs prasam lai pretendents iesniedz arī tehnisko specifikāciju, kā atsevišķu dokumentu?</w:t>
            </w:r>
          </w:p>
          <w:p w:rsidR="00B61BF2" w:rsidRPr="00B61BF2" w:rsidRDefault="00B61BF2" w:rsidP="00B61BF2">
            <w:pPr>
              <w:pStyle w:val="PlainText"/>
              <w:rPr>
                <w:b/>
                <w:szCs w:val="22"/>
              </w:rPr>
            </w:pPr>
          </w:p>
          <w:p w:rsidR="00DC5153" w:rsidRPr="00DC5153" w:rsidRDefault="00DC5153" w:rsidP="00B61BF2">
            <w:pPr>
              <w:pStyle w:val="PlainText"/>
              <w:rPr>
                <w:i/>
                <w:szCs w:val="22"/>
              </w:rPr>
            </w:pPr>
          </w:p>
        </w:tc>
        <w:tc>
          <w:tcPr>
            <w:tcW w:w="6804" w:type="dxa"/>
          </w:tcPr>
          <w:p w:rsidR="00DC5153" w:rsidRPr="00DC5153" w:rsidRDefault="00B57B16" w:rsidP="00B57B16">
            <w:pPr>
              <w:pStyle w:val="PlainText"/>
              <w:rPr>
                <w:i/>
                <w:szCs w:val="22"/>
              </w:rPr>
            </w:pPr>
            <w:r w:rsidRPr="00B57B16">
              <w:rPr>
                <w:i/>
                <w:szCs w:val="22"/>
              </w:rPr>
              <w:t>Attiecībā uz tehnisko specifikāciju, cenu salīdzinājumā jābūt preces aprakstam. Tas var tikt nosaukts par tehnisko specifikāciju, preces aprakstu vai tml. Noformējums, vai tas tiek iesniegts kā atsevišķs dokuments, vai kā citādi iekļauts salīdzinājuma gan paliek pretendenta ziņā.</w:t>
            </w:r>
          </w:p>
        </w:tc>
      </w:tr>
      <w:tr w:rsidR="00DC5153" w:rsidRPr="00DC5153" w:rsidTr="00676D41">
        <w:tc>
          <w:tcPr>
            <w:tcW w:w="3544" w:type="dxa"/>
          </w:tcPr>
          <w:p w:rsidR="00DC5153" w:rsidRDefault="00B61BF2" w:rsidP="00923E73">
            <w:pPr>
              <w:pStyle w:val="PlainText"/>
              <w:numPr>
                <w:ilvl w:val="0"/>
                <w:numId w:val="1"/>
              </w:numPr>
              <w:rPr>
                <w:b/>
                <w:szCs w:val="22"/>
              </w:rPr>
            </w:pPr>
            <w:r>
              <w:rPr>
                <w:b/>
                <w:szCs w:val="22"/>
              </w:rPr>
              <w:t>V</w:t>
            </w:r>
            <w:r w:rsidRPr="00B61BF2">
              <w:rPr>
                <w:b/>
                <w:szCs w:val="22"/>
              </w:rPr>
              <w:t>ai bez piedāvājumiem der arī cita informācija par aptaujātajiem komersantiem, lai apliecinātu noteiktās cenas objektivitāti (piemēram., cenu katalogs, interneta veikala izdruka utml);?</w:t>
            </w:r>
          </w:p>
          <w:p w:rsidR="00E64B84" w:rsidRPr="00B61BF2" w:rsidRDefault="00E64B84" w:rsidP="00E64B84">
            <w:pPr>
              <w:pStyle w:val="PlainText"/>
              <w:ind w:left="360"/>
              <w:rPr>
                <w:b/>
                <w:szCs w:val="22"/>
              </w:rPr>
            </w:pPr>
          </w:p>
        </w:tc>
        <w:tc>
          <w:tcPr>
            <w:tcW w:w="6804" w:type="dxa"/>
          </w:tcPr>
          <w:p w:rsidR="00B57B16" w:rsidRPr="00B57B16" w:rsidRDefault="00B57B16" w:rsidP="00B57B16">
            <w:pPr>
              <w:pStyle w:val="PlainText"/>
              <w:rPr>
                <w:i/>
                <w:szCs w:val="22"/>
              </w:rPr>
            </w:pPr>
            <w:r w:rsidRPr="00B57B16">
              <w:rPr>
                <w:i/>
                <w:szCs w:val="22"/>
              </w:rPr>
              <w:t xml:space="preserve">Nosūtu jums saiti uz iepirkumu veikšanas vadlīnijām http://www.lad.gov.lv/lv/atbalsta-veidi/projekti-un-investicijas/iepirkuma-proceduras/ </w:t>
            </w:r>
          </w:p>
          <w:p w:rsidR="00B57B16" w:rsidRPr="00B57B16" w:rsidRDefault="00B57B16" w:rsidP="00B57B16">
            <w:pPr>
              <w:pStyle w:val="PlainText"/>
              <w:rPr>
                <w:i/>
                <w:szCs w:val="22"/>
              </w:rPr>
            </w:pPr>
            <w:r w:rsidRPr="00B57B16">
              <w:rPr>
                <w:i/>
                <w:szCs w:val="22"/>
              </w:rPr>
              <w:t xml:space="preserve">5.slaidā ir aprakstīts par to, kā var veikt tirgus izpēti. Īsumā – jā, cenu var noteikt pēc katalogiem, bukletiem, interneta vietnēm utml. </w:t>
            </w:r>
          </w:p>
          <w:p w:rsidR="00DC5153" w:rsidRPr="00DC5153" w:rsidRDefault="00DC5153" w:rsidP="00623EA2">
            <w:pPr>
              <w:pStyle w:val="PlainText"/>
              <w:rPr>
                <w:b/>
                <w:i/>
                <w:szCs w:val="22"/>
              </w:rPr>
            </w:pPr>
          </w:p>
        </w:tc>
      </w:tr>
    </w:tbl>
    <w:p w:rsidR="00E64B84" w:rsidRDefault="00E64B84" w:rsidP="00E64B84">
      <w:pPr>
        <w:pStyle w:val="PlainText"/>
        <w:rPr>
          <w:b/>
          <w:i/>
          <w:szCs w:val="22"/>
        </w:rPr>
      </w:pPr>
    </w:p>
    <w:p w:rsidR="00E64B84" w:rsidRPr="00DC5153" w:rsidRDefault="00E64B84" w:rsidP="00E64B84">
      <w:pPr>
        <w:pStyle w:val="PlainText"/>
        <w:rPr>
          <w:b/>
          <w:i/>
          <w:szCs w:val="22"/>
        </w:rPr>
      </w:pPr>
    </w:p>
    <w:sectPr w:rsidR="00E64B84" w:rsidRPr="00DC5153" w:rsidSect="006E70F3">
      <w:headerReference w:type="even" r:id="rId8"/>
      <w:headerReference w:type="default" r:id="rId9"/>
      <w:footerReference w:type="even" r:id="rId10"/>
      <w:footerReference w:type="default" r:id="rId11"/>
      <w:headerReference w:type="first" r:id="rId12"/>
      <w:footerReference w:type="first" r:id="rId13"/>
      <w:pgSz w:w="11906" w:h="16838"/>
      <w:pgMar w:top="1440" w:right="849"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FA" w:rsidRDefault="004D15FA" w:rsidP="00435135">
      <w:pPr>
        <w:spacing w:after="0" w:line="240" w:lineRule="auto"/>
      </w:pPr>
      <w:r>
        <w:separator/>
      </w:r>
    </w:p>
  </w:endnote>
  <w:endnote w:type="continuationSeparator" w:id="0">
    <w:p w:rsidR="004D15FA" w:rsidRDefault="004D15FA" w:rsidP="0043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0B" w:rsidRDefault="00497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268638"/>
      <w:docPartObj>
        <w:docPartGallery w:val="Page Numbers (Bottom of Page)"/>
        <w:docPartUnique/>
      </w:docPartObj>
    </w:sdtPr>
    <w:sdtEndPr>
      <w:rPr>
        <w:noProof/>
      </w:rPr>
    </w:sdtEndPr>
    <w:sdtContent>
      <w:p w:rsidR="00435135" w:rsidRDefault="00435135">
        <w:pPr>
          <w:pStyle w:val="Footer"/>
          <w:jc w:val="center"/>
        </w:pPr>
        <w:r>
          <w:fldChar w:fldCharType="begin"/>
        </w:r>
        <w:r>
          <w:instrText xml:space="preserve"> PAGE   \* MERGEFORMAT </w:instrText>
        </w:r>
        <w:r>
          <w:fldChar w:fldCharType="separate"/>
        </w:r>
        <w:r w:rsidR="00DB6805">
          <w:rPr>
            <w:noProof/>
          </w:rPr>
          <w:t>2</w:t>
        </w:r>
        <w:r>
          <w:rPr>
            <w:noProof/>
          </w:rPr>
          <w:fldChar w:fldCharType="end"/>
        </w:r>
      </w:p>
    </w:sdtContent>
  </w:sdt>
  <w:p w:rsidR="00435135" w:rsidRDefault="00435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0B" w:rsidRDefault="0049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FA" w:rsidRDefault="004D15FA" w:rsidP="00435135">
      <w:pPr>
        <w:spacing w:after="0" w:line="240" w:lineRule="auto"/>
      </w:pPr>
      <w:r>
        <w:separator/>
      </w:r>
    </w:p>
  </w:footnote>
  <w:footnote w:type="continuationSeparator" w:id="0">
    <w:p w:rsidR="004D15FA" w:rsidRDefault="004D15FA" w:rsidP="0043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0B" w:rsidRDefault="00497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38D09468A24D42E691C2D002A4DCAB37"/>
      </w:placeholder>
      <w:dataBinding w:prefixMappings="xmlns:ns0='http://schemas.openxmlformats.org/package/2006/metadata/core-properties' xmlns:ns1='http://purl.org/dc/elements/1.1/'" w:xpath="/ns0:coreProperties[1]/ns1:title[1]" w:storeItemID="{6C3C8BC8-F283-45AE-878A-BAB7291924A1}"/>
      <w:text/>
    </w:sdtPr>
    <w:sdtEndPr/>
    <w:sdtContent>
      <w:p w:rsidR="00435135" w:rsidRDefault="0043513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VRG jautājumi un LAD atbildes</w:t>
        </w:r>
      </w:p>
    </w:sdtContent>
  </w:sdt>
  <w:p w:rsidR="00435135" w:rsidRDefault="00435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0B" w:rsidRDefault="00497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068E4"/>
    <w:multiLevelType w:val="hybridMultilevel"/>
    <w:tmpl w:val="2CDA1C7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6"/>
    <w:rsid w:val="00070D78"/>
    <w:rsid w:val="00082E90"/>
    <w:rsid w:val="00127F7A"/>
    <w:rsid w:val="002435F6"/>
    <w:rsid w:val="00291C30"/>
    <w:rsid w:val="002A0252"/>
    <w:rsid w:val="002F16DA"/>
    <w:rsid w:val="00376C56"/>
    <w:rsid w:val="00435135"/>
    <w:rsid w:val="0049760B"/>
    <w:rsid w:val="004D15FA"/>
    <w:rsid w:val="004E4BFC"/>
    <w:rsid w:val="00514CFC"/>
    <w:rsid w:val="005222F4"/>
    <w:rsid w:val="00676D41"/>
    <w:rsid w:val="006E2934"/>
    <w:rsid w:val="006E70F3"/>
    <w:rsid w:val="006F3145"/>
    <w:rsid w:val="00770A08"/>
    <w:rsid w:val="007B2966"/>
    <w:rsid w:val="00843583"/>
    <w:rsid w:val="00843FAF"/>
    <w:rsid w:val="008E5259"/>
    <w:rsid w:val="00923E73"/>
    <w:rsid w:val="009E7A9C"/>
    <w:rsid w:val="00A71941"/>
    <w:rsid w:val="00B57B16"/>
    <w:rsid w:val="00B61BF2"/>
    <w:rsid w:val="00BF4B9F"/>
    <w:rsid w:val="00C94E0C"/>
    <w:rsid w:val="00CE43C6"/>
    <w:rsid w:val="00D20DCC"/>
    <w:rsid w:val="00D55A42"/>
    <w:rsid w:val="00DB6805"/>
    <w:rsid w:val="00DC5153"/>
    <w:rsid w:val="00E151A4"/>
    <w:rsid w:val="00E64B84"/>
    <w:rsid w:val="00EC156F"/>
    <w:rsid w:val="00FF6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52B9A-422D-4517-9B12-08AACA79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966"/>
    <w:pPr>
      <w:ind w:left="720"/>
      <w:contextualSpacing/>
    </w:pPr>
  </w:style>
  <w:style w:type="paragraph" w:styleId="PlainText">
    <w:name w:val="Plain Text"/>
    <w:basedOn w:val="Normal"/>
    <w:link w:val="PlainTextChar"/>
    <w:uiPriority w:val="99"/>
    <w:unhideWhenUsed/>
    <w:rsid w:val="007B29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2966"/>
    <w:rPr>
      <w:rFonts w:ascii="Calibri" w:hAnsi="Calibri"/>
      <w:szCs w:val="21"/>
    </w:rPr>
  </w:style>
  <w:style w:type="table" w:styleId="TableGrid">
    <w:name w:val="Table Grid"/>
    <w:basedOn w:val="TableNormal"/>
    <w:uiPriority w:val="59"/>
    <w:rsid w:val="00DC5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51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5135"/>
  </w:style>
  <w:style w:type="paragraph" w:styleId="Footer">
    <w:name w:val="footer"/>
    <w:basedOn w:val="Normal"/>
    <w:link w:val="FooterChar"/>
    <w:uiPriority w:val="99"/>
    <w:unhideWhenUsed/>
    <w:rsid w:val="004351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5135"/>
  </w:style>
  <w:style w:type="paragraph" w:styleId="NoSpacing">
    <w:name w:val="No Spacing"/>
    <w:link w:val="NoSpacingChar"/>
    <w:uiPriority w:val="1"/>
    <w:qFormat/>
    <w:rsid w:val="0043513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5135"/>
    <w:rPr>
      <w:rFonts w:eastAsiaTheme="minorEastAsia"/>
      <w:lang w:val="en-US" w:eastAsia="ja-JP"/>
    </w:rPr>
  </w:style>
  <w:style w:type="paragraph" w:styleId="BalloonText">
    <w:name w:val="Balloon Text"/>
    <w:basedOn w:val="Normal"/>
    <w:link w:val="BalloonTextChar"/>
    <w:uiPriority w:val="99"/>
    <w:semiHidden/>
    <w:unhideWhenUsed/>
    <w:rsid w:val="00435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35"/>
    <w:rPr>
      <w:rFonts w:ascii="Tahoma" w:hAnsi="Tahoma" w:cs="Tahoma"/>
      <w:sz w:val="16"/>
      <w:szCs w:val="16"/>
    </w:rPr>
  </w:style>
  <w:style w:type="character" w:styleId="Hyperlink">
    <w:name w:val="Hyperlink"/>
    <w:basedOn w:val="DefaultParagraphFont"/>
    <w:uiPriority w:val="99"/>
    <w:unhideWhenUsed/>
    <w:rsid w:val="00E6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1683">
      <w:bodyDiv w:val="1"/>
      <w:marLeft w:val="0"/>
      <w:marRight w:val="0"/>
      <w:marTop w:val="0"/>
      <w:marBottom w:val="0"/>
      <w:divBdr>
        <w:top w:val="none" w:sz="0" w:space="0" w:color="auto"/>
        <w:left w:val="none" w:sz="0" w:space="0" w:color="auto"/>
        <w:bottom w:val="none" w:sz="0" w:space="0" w:color="auto"/>
        <w:right w:val="none" w:sz="0" w:space="0" w:color="auto"/>
      </w:divBdr>
    </w:div>
    <w:div w:id="1325546984">
      <w:bodyDiv w:val="1"/>
      <w:marLeft w:val="0"/>
      <w:marRight w:val="0"/>
      <w:marTop w:val="0"/>
      <w:marBottom w:val="0"/>
      <w:divBdr>
        <w:top w:val="none" w:sz="0" w:space="0" w:color="auto"/>
        <w:left w:val="none" w:sz="0" w:space="0" w:color="auto"/>
        <w:bottom w:val="none" w:sz="0" w:space="0" w:color="auto"/>
        <w:right w:val="none" w:sz="0" w:space="0" w:color="auto"/>
      </w:divBdr>
    </w:div>
    <w:div w:id="14295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D09468A24D42E691C2D002A4DCAB37"/>
        <w:category>
          <w:name w:val="General"/>
          <w:gallery w:val="placeholder"/>
        </w:category>
        <w:types>
          <w:type w:val="bbPlcHdr"/>
        </w:types>
        <w:behaviors>
          <w:behavior w:val="content"/>
        </w:behaviors>
        <w:guid w:val="{2667397C-B409-4F36-975F-3226BEFEC7DF}"/>
      </w:docPartPr>
      <w:docPartBody>
        <w:p w:rsidR="00D95852" w:rsidRDefault="003D2523" w:rsidP="003D2523">
          <w:pPr>
            <w:pStyle w:val="38D09468A24D42E691C2D002A4DCAB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23"/>
    <w:rsid w:val="001B59B4"/>
    <w:rsid w:val="003D2523"/>
    <w:rsid w:val="00470A43"/>
    <w:rsid w:val="00835C86"/>
    <w:rsid w:val="008C429F"/>
    <w:rsid w:val="00A33B98"/>
    <w:rsid w:val="00D95852"/>
    <w:rsid w:val="00DB1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5B01C6A50A4E20BCC3880A820BFA9B">
    <w:name w:val="EE5B01C6A50A4E20BCC3880A820BFA9B"/>
    <w:rsid w:val="003D2523"/>
  </w:style>
  <w:style w:type="paragraph" w:customStyle="1" w:styleId="38D09468A24D42E691C2D002A4DCAB37">
    <w:name w:val="38D09468A24D42E691C2D002A4DCAB37"/>
    <w:rsid w:val="003D2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40B6-1BAD-40A9-B250-AFF54D91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5335</Words>
  <Characters>3041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VRG jautājumi un LAD atbildes</vt:lpstr>
    </vt:vector>
  </TitlesOfParts>
  <Company>LAD</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VRG jautājumi un LAD atbildes</dc:title>
  <dc:creator>Laura Storķe</dc:creator>
  <cp:lastModifiedBy>Owner</cp:lastModifiedBy>
  <cp:revision>2</cp:revision>
  <dcterms:created xsi:type="dcterms:W3CDTF">2016-04-09T07:41:00Z</dcterms:created>
  <dcterms:modified xsi:type="dcterms:W3CDTF">2016-04-09T07:41:00Z</dcterms:modified>
</cp:coreProperties>
</file>